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E8" w:rsidRDefault="00065482" w:rsidP="00065482">
      <w:pPr>
        <w:shd w:val="clear" w:color="auto" w:fill="B6DDE8" w:themeFill="accent5" w:themeFillTint="66"/>
        <w:jc w:val="both"/>
        <w:rPr>
          <w:rFonts w:asciiTheme="majorBidi" w:hAnsiTheme="majorBidi" w:cstheme="majorBidi"/>
          <w:sz w:val="24"/>
          <w:szCs w:val="24"/>
        </w:rPr>
        <w:sectPr w:rsidR="006D4BE8" w:rsidSect="006D4BE8">
          <w:pgSz w:w="11906" w:h="16838"/>
          <w:pgMar w:top="426" w:right="282" w:bottom="709" w:left="284" w:header="708" w:footer="708" w:gutter="0"/>
          <w:cols w:space="708"/>
          <w:docGrid w:linePitch="360"/>
        </w:sectPr>
      </w:pPr>
      <w:r w:rsidRPr="00065482">
        <w:rPr>
          <w:rFonts w:asciiTheme="majorBidi" w:hAnsiTheme="majorBidi" w:cstheme="majorBidi"/>
          <w:b/>
          <w:bCs/>
          <w:sz w:val="24"/>
          <w:szCs w:val="24"/>
          <w:u w:val="single"/>
        </w:rPr>
        <w:t>Définition</w:t>
      </w:r>
      <w:r w:rsidRPr="00065482">
        <w:rPr>
          <w:rFonts w:asciiTheme="majorBidi" w:hAnsiTheme="majorBidi" w:cstheme="majorBidi"/>
          <w:sz w:val="24"/>
          <w:szCs w:val="24"/>
        </w:rPr>
        <w:t> : l</w:t>
      </w:r>
    </w:p>
    <w:p w:rsidR="00065482" w:rsidRPr="006D4BE8" w:rsidRDefault="00065482" w:rsidP="00065482">
      <w:pPr>
        <w:shd w:val="clear" w:color="auto" w:fill="B6DDE8" w:themeFill="accent5" w:themeFillTint="66"/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lastRenderedPageBreak/>
        <w:t>a mise à niveau est la méthode de la mise en place d’un système complet permettant la pérennité et la connaissance de l’entreprise en améliorant sa compétitivité .</w:t>
      </w:r>
    </w:p>
    <w:p w:rsidR="00065482" w:rsidRPr="006D4BE8" w:rsidRDefault="00065482" w:rsidP="00065482">
      <w:pPr>
        <w:jc w:val="both"/>
        <w:rPr>
          <w:rFonts w:asciiTheme="majorBidi" w:hAnsiTheme="majorBidi" w:cstheme="majorBidi"/>
          <w:b/>
          <w:bCs/>
          <w:color w:val="76923C" w:themeColor="accent3" w:themeShade="BF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76923C" w:themeColor="accent3" w:themeShade="BF"/>
          <w:sz w:val="20"/>
          <w:szCs w:val="20"/>
        </w:rPr>
        <w:t>A qui s’adresse le programme national de mise à niveau ?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Critère d’éligibilité</w:t>
      </w:r>
      <w:r w:rsidRPr="006D4BE8">
        <w:rPr>
          <w:rFonts w:asciiTheme="majorBidi" w:hAnsiTheme="majorBidi" w:cstheme="majorBidi"/>
          <w:sz w:val="20"/>
          <w:szCs w:val="20"/>
        </w:rPr>
        <w:t> : les critères sectoriel retenus pour l’éligibilité au fonds national de mise à niveau des PE sont fondées sur l’appartenance des entreprise aux secteurs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De l’industrie ;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Du BTP ;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De la pêche ;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Du tourisme et l’hôtellerie ;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Des services ;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De transports et des services TIC.</w:t>
      </w:r>
    </w:p>
    <w:p w:rsidR="00065482" w:rsidRPr="006D4BE8" w:rsidRDefault="00065482" w:rsidP="005D1F79">
      <w:pPr>
        <w:ind w:left="360"/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 xml:space="preserve">Suivant la taille de l’entreprise, l’éligibilité concerne les entreprises d’une taille </w:t>
      </w:r>
      <w:r w:rsidR="005D1F79">
        <w:rPr>
          <w:rFonts w:asciiTheme="majorBidi" w:hAnsiTheme="majorBidi" w:cstheme="majorBidi"/>
          <w:sz w:val="20"/>
          <w:szCs w:val="20"/>
        </w:rPr>
        <w:t>entre 1 et 250 employeur.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La PME éligible est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Une entreprise algérienne ;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En activité depuis (02) ans ;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bookmarkStart w:id="0" w:name="_GoBack"/>
      <w:r w:rsidRPr="006D4BE8">
        <w:rPr>
          <w:rFonts w:asciiTheme="majorBidi" w:hAnsiTheme="majorBidi" w:cstheme="majorBidi"/>
          <w:sz w:val="20"/>
          <w:szCs w:val="20"/>
        </w:rPr>
        <w:t>Ayant une structure financière équilibrée ;</w:t>
      </w:r>
    </w:p>
    <w:bookmarkEnd w:id="0"/>
    <w:p w:rsidR="00065482" w:rsidRPr="006D4BE8" w:rsidRDefault="00065482" w:rsidP="00065482">
      <w:pPr>
        <w:jc w:val="both"/>
        <w:rPr>
          <w:rFonts w:asciiTheme="majorBidi" w:hAnsiTheme="majorBidi" w:cstheme="majorBidi"/>
          <w:b/>
          <w:bCs/>
          <w:color w:val="76923C" w:themeColor="accent3" w:themeShade="BF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76923C" w:themeColor="accent3" w:themeShade="BF"/>
          <w:sz w:val="20"/>
          <w:szCs w:val="20"/>
        </w:rPr>
        <w:t>Pour quelles actions de mise à niveau ?</w:t>
      </w:r>
    </w:p>
    <w:p w:rsidR="00065482" w:rsidRPr="006D4BE8" w:rsidRDefault="00065482" w:rsidP="00065482">
      <w:pPr>
        <w:pStyle w:val="a3"/>
        <w:jc w:val="both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FF0000"/>
          <w:sz w:val="20"/>
          <w:szCs w:val="20"/>
        </w:rPr>
        <w:t>Aides financières :</w:t>
      </w:r>
    </w:p>
    <w:p w:rsidR="00065482" w:rsidRPr="006D4BE8" w:rsidRDefault="00065482" w:rsidP="00065482">
      <w:pPr>
        <w:pStyle w:val="a3"/>
        <w:jc w:val="both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FF0000"/>
          <w:sz w:val="20"/>
          <w:szCs w:val="20"/>
        </w:rPr>
        <w:t>Phase 1 : Pré-diagnostique ou diagnostique :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Le pré-diagnostique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coût plafond de cette action est de 500.000 DA.</w:t>
      </w:r>
    </w:p>
    <w:p w:rsidR="00065482" w:rsidRPr="006D4BE8" w:rsidRDefault="00065482" w:rsidP="00355D49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L’aide publique couvrant 80% soit 400.000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La différence soit 100.000 DA est financée par l’entreprise.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Le diagnostique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coût plafond de cette action est de 2.500.000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L’aide publique couvrant 80 % soit 2.000.000 DA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La différence soit 500.000 DA est financée  par l’entreprise.</w:t>
      </w:r>
    </w:p>
    <w:p w:rsidR="00065482" w:rsidRPr="006D4BE8" w:rsidRDefault="00065482" w:rsidP="00065482">
      <w:pPr>
        <w:pStyle w:val="a3"/>
        <w:jc w:val="both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FF0000"/>
          <w:sz w:val="20"/>
          <w:szCs w:val="20"/>
        </w:rPr>
        <w:t>Phase 2 : Les investissements :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Les investissements immatériels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coût plafond de cette action est de 3.000.000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L’état prend en charge :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ind w:left="1134" w:hanging="11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sz w:val="20"/>
          <w:szCs w:val="20"/>
        </w:rPr>
        <w:t>80% pour les entreprises dont le chiffre d’affaire est inférieur à 100 millions DA, la différence est prise en charge par l’entreprise, soit 2.4 millions DA.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ind w:left="1134" w:hanging="11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sz w:val="20"/>
          <w:szCs w:val="20"/>
        </w:rPr>
        <w:t xml:space="preserve">50  pour les entreprises dont le chiffre d’affaires est situé entre 100 et 500 millions de </w:t>
      </w:r>
      <w:r w:rsidR="00355D49">
        <w:rPr>
          <w:rFonts w:asciiTheme="majorBidi" w:hAnsiTheme="majorBidi" w:cstheme="majorBidi"/>
          <w:b/>
          <w:bCs/>
          <w:sz w:val="20"/>
          <w:szCs w:val="20"/>
        </w:rPr>
        <w:t>D</w:t>
      </w:r>
      <w:r w:rsidRPr="006D4BE8">
        <w:rPr>
          <w:rFonts w:asciiTheme="majorBidi" w:hAnsiTheme="majorBidi" w:cstheme="majorBidi"/>
          <w:b/>
          <w:bCs/>
          <w:sz w:val="20"/>
          <w:szCs w:val="20"/>
        </w:rPr>
        <w:t>A, la différence est prise en charge par l’entreprise ; soit 1.5 millions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Les financements sur crédits bancaires sont bonifiés à :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ind w:left="1134" w:hanging="11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sz w:val="20"/>
          <w:szCs w:val="20"/>
        </w:rPr>
        <w:t>6% pour les entreprises dont le CA est inférieur à 500 millions de DA ;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ind w:left="1134" w:hanging="11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sz w:val="20"/>
          <w:szCs w:val="20"/>
        </w:rPr>
        <w:t>4% pour celles dont le CA est situé entre 500 et 1000 millions de DA ;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ind w:left="1134" w:hanging="11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sz w:val="20"/>
          <w:szCs w:val="20"/>
        </w:rPr>
        <w:t>2% pour celles dont le CA est situé entre 1000 et 2000 millions de DA.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Les investissements matériels de productivité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coût plafond de cette action est de 15.000.000 DA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lastRenderedPageBreak/>
        <w:t xml:space="preserve">L’état prend en charge 10% de ce coût au profit des entreprises dont le </w:t>
      </w:r>
      <w:r w:rsidR="00355D49">
        <w:rPr>
          <w:rFonts w:asciiTheme="majorBidi" w:hAnsiTheme="majorBidi" w:cstheme="majorBidi"/>
          <w:sz w:val="20"/>
          <w:szCs w:val="20"/>
        </w:rPr>
        <w:t xml:space="preserve">CA </w:t>
      </w:r>
      <w:r w:rsidRPr="006D4BE8">
        <w:rPr>
          <w:rFonts w:asciiTheme="majorBidi" w:hAnsiTheme="majorBidi" w:cstheme="majorBidi"/>
          <w:sz w:val="20"/>
          <w:szCs w:val="20"/>
        </w:rPr>
        <w:t>est inférieur à 100 millions de DA.</w:t>
      </w:r>
    </w:p>
    <w:p w:rsidR="00CE6A73" w:rsidRPr="006D4BE8" w:rsidRDefault="00065482" w:rsidP="00065482">
      <w:pPr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La différence est financée par l’entreprise, soit 13.5 millions de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Les financements sur crédits bancaires bénéficient d’une bonification aux taux de :</w:t>
      </w:r>
    </w:p>
    <w:p w:rsidR="00065482" w:rsidRPr="006D4BE8" w:rsidRDefault="00065482" w:rsidP="00355D49">
      <w:pPr>
        <w:pStyle w:val="a3"/>
        <w:numPr>
          <w:ilvl w:val="0"/>
          <w:numId w:val="1"/>
        </w:numPr>
        <w:ind w:left="1134" w:hanging="11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sz w:val="20"/>
          <w:szCs w:val="20"/>
        </w:rPr>
        <w:t>3.5% pour les entreprises réalisant un CA inférieur à 100 millions DA.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ind w:left="1134" w:hanging="11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sz w:val="20"/>
          <w:szCs w:val="20"/>
        </w:rPr>
        <w:t>3% pour les entreprises réalisant un CA entre 100 et 500 millions DA ;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ind w:left="1134" w:hanging="11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sz w:val="20"/>
          <w:szCs w:val="20"/>
        </w:rPr>
        <w:t>1% pour les entreprises réalisant un CA entre 1000 et 2000 millions DA.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Les investissements matériels à caractère prioritaire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coût plafond de cette action est de 30.000.000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financement de cette action est laissé à la charge des entreprises.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L’état prend en charge la bonification des crédits bancaires au taux de 2.5%.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Les investissements technologiques et les systèmes d’information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coût plafond de cette action est de 15.000.000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L’état prend en charge 40% de ce coût, soit 6.000.000 DA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La différence, soit 9.000.000 DA est financée par l’entreprise sur fonds propres ou sur crédits bonifiés au taux de 4%.</w:t>
      </w:r>
    </w:p>
    <w:p w:rsidR="00065482" w:rsidRPr="006D4BE8" w:rsidRDefault="00065482" w:rsidP="00065482">
      <w:pPr>
        <w:pStyle w:val="a3"/>
        <w:jc w:val="both"/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FF0000"/>
          <w:sz w:val="20"/>
          <w:szCs w:val="20"/>
        </w:rPr>
        <w:t>Phase 3 : La formation et l’assistance spécifique :</w:t>
      </w:r>
    </w:p>
    <w:p w:rsidR="00065482" w:rsidRPr="006D4BE8" w:rsidRDefault="00065482" w:rsidP="00065482">
      <w:pPr>
        <w:pStyle w:val="a3"/>
        <w:jc w:val="both"/>
        <w:rPr>
          <w:rFonts w:asciiTheme="majorBidi" w:hAnsiTheme="majorBidi" w:cstheme="majorBidi"/>
          <w:b/>
          <w:bCs/>
          <w:color w:val="548DD4" w:themeColor="text2" w:themeTint="99"/>
          <w:sz w:val="20"/>
          <w:szCs w:val="20"/>
          <w:u w:val="single"/>
        </w:rPr>
      </w:pPr>
      <w:r w:rsidRPr="006D4BE8">
        <w:rPr>
          <w:rFonts w:asciiTheme="majorBidi" w:hAnsiTheme="majorBidi" w:cstheme="majorBidi"/>
          <w:b/>
          <w:bCs/>
          <w:color w:val="548DD4" w:themeColor="text2" w:themeTint="99"/>
          <w:sz w:val="20"/>
          <w:szCs w:val="20"/>
          <w:u w:val="single"/>
        </w:rPr>
        <w:t>Au titre de la formation :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L’encadrement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coût plafond de cette action est de 500.000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L’état prend en charge 80% de ce coût, soit 400.000 DA</w:t>
      </w:r>
    </w:p>
    <w:p w:rsidR="00065482" w:rsidRPr="006D4BE8" w:rsidRDefault="00065482" w:rsidP="00065482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La différence, soit 100.000 DA est financée par l’entreprise sur fonds propres où crédits bancaires non bonifiés (dont le coût est totalement à sa charge).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548DD4" w:themeColor="text2" w:themeTint="99"/>
          <w:sz w:val="20"/>
          <w:szCs w:val="20"/>
          <w:u w:val="single"/>
        </w:rPr>
        <w:t>Au titre de l’assistance spécifique :</w:t>
      </w:r>
    </w:p>
    <w:p w:rsidR="00065482" w:rsidRPr="006D4BE8" w:rsidRDefault="00065482" w:rsidP="00065482">
      <w:pPr>
        <w:pStyle w:val="a3"/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 xml:space="preserve"> Le Coaching ou accompagnement </w:t>
      </w:r>
    </w:p>
    <w:p w:rsidR="00065482" w:rsidRPr="006D4BE8" w:rsidRDefault="00065482" w:rsidP="00065482">
      <w:pPr>
        <w:pStyle w:val="a3"/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dans le domaine des TIC, des</w:t>
      </w:r>
    </w:p>
    <w:p w:rsidR="00065482" w:rsidRPr="006D4BE8" w:rsidRDefault="00065482" w:rsidP="00065482">
      <w:pPr>
        <w:pStyle w:val="a3"/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 xml:space="preserve">exportations, de l’innovation, de </w:t>
      </w:r>
    </w:p>
    <w:p w:rsidR="00065482" w:rsidRPr="006D4BE8" w:rsidRDefault="00065482" w:rsidP="00065482">
      <w:pPr>
        <w:pStyle w:val="a3"/>
        <w:jc w:val="both"/>
        <w:rPr>
          <w:rFonts w:asciiTheme="majorBidi" w:hAnsiTheme="majorBidi" w:cstheme="majorBidi"/>
          <w:sz w:val="20"/>
          <w:szCs w:val="20"/>
          <w:rtl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l’expertise financière et de la certification :</w:t>
      </w:r>
      <w:r w:rsidRPr="006D4BE8">
        <w:rPr>
          <w:rFonts w:asciiTheme="majorBidi" w:hAnsiTheme="majorBidi" w:cstheme="majorBidi"/>
          <w:sz w:val="20"/>
          <w:szCs w:val="20"/>
        </w:rPr>
        <w:t xml:space="preserve"> 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coût plafond de cette action est de 1.000.000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 xml:space="preserve">L’état prend en charge 80% de ce coût, soit 800.000 DA. 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La différence est financée par l’entreprise sur fonds propres où crédits bancaires bonifiés à 6%.</w:t>
      </w:r>
    </w:p>
    <w:p w:rsidR="00065482" w:rsidRPr="006D4BE8" w:rsidRDefault="00065482" w:rsidP="0006548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color w:val="4F81BD" w:themeColor="accent1"/>
          <w:sz w:val="20"/>
          <w:szCs w:val="20"/>
        </w:rPr>
        <w:t>La certification :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Le coût plafond de cette action est de 5.000.000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L’état prend en charge 20% de ce coût, soit 1.000.000 DA.</w:t>
      </w:r>
    </w:p>
    <w:p w:rsidR="00065482" w:rsidRPr="006D4BE8" w:rsidRDefault="00065482" w:rsidP="0006548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6D4BE8">
        <w:rPr>
          <w:rFonts w:asciiTheme="majorBidi" w:hAnsiTheme="majorBidi" w:cstheme="majorBidi"/>
          <w:sz w:val="20"/>
          <w:szCs w:val="20"/>
        </w:rPr>
        <w:t>La différence, soit 4</w:t>
      </w:r>
      <w:r w:rsidR="00355D49">
        <w:rPr>
          <w:rFonts w:asciiTheme="majorBidi" w:hAnsiTheme="majorBidi" w:cstheme="majorBidi"/>
          <w:sz w:val="20"/>
          <w:szCs w:val="20"/>
        </w:rPr>
        <w:t>.</w:t>
      </w:r>
      <w:r w:rsidRPr="006D4BE8">
        <w:rPr>
          <w:rFonts w:asciiTheme="majorBidi" w:hAnsiTheme="majorBidi" w:cstheme="majorBidi"/>
          <w:sz w:val="20"/>
          <w:szCs w:val="20"/>
        </w:rPr>
        <w:t>000.000 DA est financée par l’entreprise sur fond propres où crédits bancaires bonifiés à 6%</w:t>
      </w:r>
    </w:p>
    <w:p w:rsidR="00065482" w:rsidRPr="006D4BE8" w:rsidRDefault="00065482" w:rsidP="00065482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6D4BE8">
        <w:rPr>
          <w:rFonts w:asciiTheme="majorBidi" w:hAnsiTheme="majorBidi" w:cstheme="majorBidi"/>
          <w:b/>
          <w:bCs/>
          <w:sz w:val="20"/>
          <w:szCs w:val="20"/>
        </w:rPr>
        <w:t xml:space="preserve">Pour les crédits bonifiés, l’entreprise peut bénéficier d’un accompagnement de l’Agence Nationale de Développement de la PME auprès des banques et des dispositifs de garanties. </w:t>
      </w:r>
    </w:p>
    <w:sectPr w:rsidR="00065482" w:rsidRPr="006D4BE8" w:rsidSect="00A35EED">
      <w:type w:val="continuous"/>
      <w:pgSz w:w="11906" w:h="16838"/>
      <w:pgMar w:top="426" w:right="282" w:bottom="284" w:left="28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588"/>
    <w:multiLevelType w:val="hybridMultilevel"/>
    <w:tmpl w:val="AF3648B0"/>
    <w:lvl w:ilvl="0" w:tplc="B8146E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07D40"/>
    <w:multiLevelType w:val="hybridMultilevel"/>
    <w:tmpl w:val="6C0C809E"/>
    <w:lvl w:ilvl="0" w:tplc="EBFCB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82"/>
    <w:rsid w:val="00065482"/>
    <w:rsid w:val="0010137A"/>
    <w:rsid w:val="00355D49"/>
    <w:rsid w:val="005D1F79"/>
    <w:rsid w:val="006D108B"/>
    <w:rsid w:val="006D4BE8"/>
    <w:rsid w:val="009F4E73"/>
    <w:rsid w:val="00A35EED"/>
    <w:rsid w:val="00AE36AE"/>
    <w:rsid w:val="00C55C6E"/>
    <w:rsid w:val="00CE6A73"/>
    <w:rsid w:val="00E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</dc:creator>
  <cp:lastModifiedBy>PME STAT</cp:lastModifiedBy>
  <cp:revision>2</cp:revision>
  <cp:lastPrinted>2011-04-03T11:49:00Z</cp:lastPrinted>
  <dcterms:created xsi:type="dcterms:W3CDTF">2013-11-18T14:48:00Z</dcterms:created>
  <dcterms:modified xsi:type="dcterms:W3CDTF">2013-11-18T14:48:00Z</dcterms:modified>
</cp:coreProperties>
</file>